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D2A66" w14:textId="77777777" w:rsidR="00E82FC4" w:rsidRPr="00D610E3" w:rsidRDefault="00E82FC4" w:rsidP="00E82FC4">
      <w:pPr>
        <w:pStyle w:val="NormalWeb"/>
        <w:shd w:val="clear" w:color="auto" w:fill="FFFFFF"/>
        <w:rPr>
          <w:rFonts w:ascii="Arial" w:hAnsi="Arial" w:cs="Arial"/>
          <w:b/>
          <w:color w:val="000000"/>
          <w:sz w:val="21"/>
          <w:szCs w:val="21"/>
        </w:rPr>
      </w:pPr>
      <w:r w:rsidRPr="00D610E3">
        <w:rPr>
          <w:rFonts w:ascii="Arial" w:hAnsi="Arial" w:cs="Arial"/>
          <w:b/>
          <w:color w:val="000000"/>
          <w:sz w:val="21"/>
          <w:szCs w:val="21"/>
        </w:rPr>
        <w:t>CT findings in COVID-19:</w:t>
      </w:r>
    </w:p>
    <w:p w14:paraId="53F03C95" w14:textId="77777777" w:rsidR="00E82FC4" w:rsidRDefault="00E82FC4" w:rsidP="00634C85">
      <w:pPr>
        <w:pStyle w:val="inline"/>
        <w:shd w:val="clear" w:color="auto" w:fill="FFFFFF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Early stage (0-4 days after onset of the initial symptom) – subpleural ground glass opacities, unilateral or bilateral</w:t>
      </w:r>
      <w:r w:rsidR="00453C27">
        <w:rPr>
          <w:rFonts w:ascii="Arial" w:hAnsi="Arial" w:cs="Arial"/>
          <w:color w:val="000000"/>
          <w:sz w:val="21"/>
          <w:szCs w:val="21"/>
        </w:rPr>
        <w:t>.  May be patchy or nodular.</w:t>
      </w:r>
    </w:p>
    <w:p w14:paraId="4250FC71" w14:textId="77777777" w:rsidR="00E82FC4" w:rsidRDefault="00E82FC4" w:rsidP="00634C85">
      <w:pPr>
        <w:pStyle w:val="inline"/>
        <w:shd w:val="clear" w:color="auto" w:fill="FFFFFF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Progressive stage (5-8 days after the onset of the initial symptom): bilateral multi-lobe distribution with diffuse GGO, crazy-paving pattern and consolidation </w:t>
      </w:r>
    </w:p>
    <w:p w14:paraId="37F14C80" w14:textId="77777777" w:rsidR="00E82FC4" w:rsidRDefault="00E82FC4" w:rsidP="00634C85">
      <w:pPr>
        <w:pStyle w:val="inline"/>
        <w:shd w:val="clear" w:color="auto" w:fill="FFFFFF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Peak stage (9-13 days after the onset of the initial symptom): Progressive dense consolidation, diffuse GGO, crazy-paving pattern, consolidation, and residual parenchymal bands.</w:t>
      </w:r>
    </w:p>
    <w:p w14:paraId="3F108EFC" w14:textId="77777777" w:rsidR="00E82FC4" w:rsidRDefault="00E82FC4" w:rsidP="00634C85">
      <w:pPr>
        <w:pStyle w:val="inline"/>
        <w:shd w:val="clear" w:color="auto" w:fill="FFFFFF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Absorption stage (≥14 days after the onset of the initial symptom): Consolidation gradually absorbed. No crazy-paving pattern was present anymore. Extensive GGO could be observed.</w:t>
      </w:r>
      <w:r w:rsidR="00D610E3">
        <w:rPr>
          <w:rFonts w:ascii="Arial" w:hAnsi="Arial" w:cs="Arial"/>
          <w:color w:val="000000"/>
          <w:sz w:val="21"/>
          <w:szCs w:val="21"/>
        </w:rPr>
        <w:t xml:space="preserve"> A</w:t>
      </w:r>
      <w:r>
        <w:rPr>
          <w:rFonts w:ascii="Arial" w:hAnsi="Arial" w:cs="Arial"/>
          <w:color w:val="000000"/>
          <w:sz w:val="21"/>
          <w:szCs w:val="21"/>
        </w:rPr>
        <w:t>bsorption stage extended beyond 26 days from the onset of initial symptoms.</w:t>
      </w:r>
    </w:p>
    <w:p w14:paraId="794A3422" w14:textId="77777777" w:rsidR="00634C85" w:rsidRDefault="00634C85"/>
    <w:p w14:paraId="2EBEED58" w14:textId="77777777" w:rsidR="001A1A5B" w:rsidRDefault="00634C85" w:rsidP="00634C85">
      <w:pPr>
        <w:pStyle w:val="ListParagraph"/>
        <w:numPr>
          <w:ilvl w:val="0"/>
          <w:numId w:val="2"/>
        </w:numPr>
      </w:pPr>
      <w:r>
        <w:t>Ground glass opacity             b.   Crazy paving</w:t>
      </w:r>
      <w:r>
        <w:tab/>
      </w:r>
      <w:r>
        <w:tab/>
        <w:t xml:space="preserve">          c.  Consolidation</w:t>
      </w:r>
      <w:r>
        <w:tab/>
      </w:r>
      <w:r>
        <w:tab/>
      </w:r>
      <w:r>
        <w:tab/>
      </w:r>
    </w:p>
    <w:p w14:paraId="6DA41F82" w14:textId="77777777" w:rsidR="00634C85" w:rsidRDefault="001A1A5B" w:rsidP="00634C85">
      <w:r>
        <w:rPr>
          <w:noProof/>
        </w:rPr>
        <w:drawing>
          <wp:inline distT="0" distB="0" distL="0" distR="0" wp14:anchorId="7C25CF9F" wp14:editId="519AF9DA">
            <wp:extent cx="5943600" cy="1949613"/>
            <wp:effectExtent l="0" t="0" r="0" b="0"/>
            <wp:docPr id="1" name="Picture 1" descr="Figure 2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2: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2FC4">
        <w:t xml:space="preserve"> </w:t>
      </w:r>
    </w:p>
    <w:p w14:paraId="4C59B690" w14:textId="77777777" w:rsidR="00D610E3" w:rsidRDefault="00D610E3" w:rsidP="00D610E3">
      <w:pPr>
        <w:pStyle w:val="inline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(Images from: Pan et al. Time course of lung changes on chest CT during recovery from 2019 novel coronavirus (COVID-19) pneumonia. Radiology 2020.  </w:t>
      </w:r>
      <w:hyperlink r:id="rId6" w:history="1">
        <w:r w:rsidRPr="00E82FC4">
          <w:rPr>
            <w:rFonts w:ascii="Arial" w:hAnsi="Arial" w:cs="Arial"/>
            <w:color w:val="000000"/>
            <w:sz w:val="21"/>
            <w:szCs w:val="21"/>
          </w:rPr>
          <w:t>https://doi.org/10.1148/radiol.2020200370</w:t>
        </w:r>
      </w:hyperlink>
      <w:r>
        <w:rPr>
          <w:rFonts w:ascii="Arial" w:hAnsi="Arial" w:cs="Arial"/>
          <w:color w:val="000000"/>
          <w:sz w:val="21"/>
          <w:szCs w:val="21"/>
        </w:rPr>
        <w:t>)</w:t>
      </w:r>
    </w:p>
    <w:p w14:paraId="28BD815D" w14:textId="77777777" w:rsidR="00725080" w:rsidRPr="00586458" w:rsidRDefault="00725080" w:rsidP="00634C85">
      <w:pPr>
        <w:rPr>
          <w:rFonts w:ascii="Arial" w:hAnsi="Arial" w:cs="Arial"/>
        </w:rPr>
      </w:pPr>
      <w:r w:rsidRPr="00586458">
        <w:rPr>
          <w:rFonts w:ascii="Arial" w:eastAsia="Times New Roman" w:hAnsi="Arial" w:cs="Arial"/>
          <w:color w:val="000000"/>
        </w:rPr>
        <w:t xml:space="preserve">Nonspecificity of findings: </w:t>
      </w:r>
      <w:r w:rsidRPr="00586458">
        <w:rPr>
          <w:rFonts w:ascii="Arial" w:hAnsi="Arial" w:cs="Arial"/>
        </w:rPr>
        <w:t xml:space="preserve">In imaging diagnosis, COVID-19 is difficult to distinguish from pneumonias caused by influenza A </w:t>
      </w:r>
      <w:r w:rsidR="00453C27">
        <w:rPr>
          <w:rFonts w:ascii="Arial" w:hAnsi="Arial" w:cs="Arial"/>
        </w:rPr>
        <w:t xml:space="preserve">or </w:t>
      </w:r>
      <w:r w:rsidRPr="00586458">
        <w:rPr>
          <w:rFonts w:ascii="Arial" w:hAnsi="Arial" w:cs="Arial"/>
        </w:rPr>
        <w:t>B virus, cytomegalovirus, adenovirus, respiratory syncytial virus, SARS-CoV, MERS coronavirus, and other viral pneumonias</w:t>
      </w:r>
      <w:r w:rsidR="00626418" w:rsidRPr="00586458">
        <w:rPr>
          <w:rFonts w:ascii="Arial" w:hAnsi="Arial" w:cs="Arial"/>
        </w:rPr>
        <w:t xml:space="preserve">.  </w:t>
      </w:r>
      <w:r w:rsidRPr="00586458">
        <w:rPr>
          <w:rFonts w:ascii="Arial" w:hAnsi="Arial" w:cs="Arial"/>
        </w:rPr>
        <w:t xml:space="preserve"> </w:t>
      </w:r>
      <w:r w:rsidR="00626418" w:rsidRPr="00586458">
        <w:rPr>
          <w:rFonts w:ascii="Arial" w:hAnsi="Arial" w:cs="Arial"/>
        </w:rPr>
        <w:t>The differential diagnosis can include bacterial</w:t>
      </w:r>
      <w:r w:rsidRPr="00586458">
        <w:rPr>
          <w:rFonts w:ascii="Arial" w:hAnsi="Arial" w:cs="Arial"/>
        </w:rPr>
        <w:t xml:space="preserve"> pneumonia</w:t>
      </w:r>
      <w:r w:rsidR="00626418" w:rsidRPr="00586458">
        <w:rPr>
          <w:rFonts w:ascii="Arial" w:hAnsi="Arial" w:cs="Arial"/>
        </w:rPr>
        <w:t>, although multifocal opacities in bacterial pneumonia are more likely to be consolidative rather than ground glass</w:t>
      </w:r>
      <w:r w:rsidRPr="00586458">
        <w:rPr>
          <w:rFonts w:ascii="Arial" w:hAnsi="Arial" w:cs="Arial"/>
        </w:rPr>
        <w:t>.</w:t>
      </w:r>
      <w:r w:rsidR="00626418" w:rsidRPr="00586458">
        <w:rPr>
          <w:rFonts w:ascii="Arial" w:hAnsi="Arial" w:cs="Arial"/>
        </w:rPr>
        <w:t xml:space="preserve">  Mycoplasma pneumonia (more common in children and adolescents, rarely seen in adults) typically include</w:t>
      </w:r>
      <w:r w:rsidR="00453C27">
        <w:rPr>
          <w:rFonts w:ascii="Arial" w:hAnsi="Arial" w:cs="Arial"/>
        </w:rPr>
        <w:t>s</w:t>
      </w:r>
      <w:r w:rsidR="00626418" w:rsidRPr="00586458">
        <w:rPr>
          <w:rFonts w:ascii="Arial" w:hAnsi="Arial" w:cs="Arial"/>
        </w:rPr>
        <w:t xml:space="preserve"> bronchial wall thickening and centrilobular nodules.</w:t>
      </w:r>
    </w:p>
    <w:p w14:paraId="6EE670F3" w14:textId="7188B382" w:rsidR="00304A42" w:rsidRPr="00304A42" w:rsidRDefault="00304A42" w:rsidP="00304A42">
      <w:pPr>
        <w:rPr>
          <w:rFonts w:ascii="Arial" w:hAnsi="Arial" w:cs="Arial"/>
        </w:rPr>
      </w:pPr>
      <w:r w:rsidRPr="00304A42">
        <w:rPr>
          <w:rFonts w:ascii="Arial" w:hAnsi="Arial" w:cs="Arial"/>
        </w:rPr>
        <w:t xml:space="preserve">The Society of Thoracic Radiology has made available a truly excellent presentation on COVID-19.  </w:t>
      </w:r>
      <w:hyperlink r:id="rId7" w:history="1">
        <w:r w:rsidRPr="00304A42">
          <w:rPr>
            <w:rFonts w:ascii="Arial" w:hAnsi="Arial" w:cs="Arial"/>
          </w:rPr>
          <w:t>https://veritastv.org/programs/covid-19</w:t>
        </w:r>
      </w:hyperlink>
      <w:r w:rsidRPr="00304A42">
        <w:rPr>
          <w:rFonts w:ascii="Arial" w:hAnsi="Arial" w:cs="Arial"/>
        </w:rPr>
        <w:t xml:space="preserve">.  If you jump forward to 30:05 </w:t>
      </w:r>
      <w:r>
        <w:rPr>
          <w:rFonts w:ascii="Arial" w:hAnsi="Arial" w:cs="Arial"/>
        </w:rPr>
        <w:t xml:space="preserve">there is </w:t>
      </w:r>
      <w:r w:rsidRPr="00304A42">
        <w:rPr>
          <w:rFonts w:ascii="Arial" w:hAnsi="Arial" w:cs="Arial"/>
        </w:rPr>
        <w:t>a great series of various cases of COVID-19 on chest CT.  They scroll through whole chest CTs with case description and walkthrough. If you have trouble with the direct link, this link will get you to the STR page; the COVID presentation is at the top of the page</w:t>
      </w:r>
      <w:r>
        <w:rPr>
          <w:rFonts w:ascii="Arial" w:hAnsi="Arial" w:cs="Arial"/>
        </w:rPr>
        <w:t xml:space="preserve">.  </w:t>
      </w:r>
      <w:hyperlink r:id="rId8" w:history="1">
        <w:r w:rsidRPr="00D33B95">
          <w:rPr>
            <w:rStyle w:val="Hyperlink"/>
            <w:rFonts w:ascii="Arial" w:hAnsi="Arial" w:cs="Arial"/>
          </w:rPr>
          <w:t>https://thoracicrad.org/?portfolio=education</w:t>
        </w:r>
      </w:hyperlink>
    </w:p>
    <w:p w14:paraId="09189877" w14:textId="77777777" w:rsidR="00626418" w:rsidRPr="00586458" w:rsidRDefault="00626418" w:rsidP="00634C85">
      <w:pPr>
        <w:rPr>
          <w:rFonts w:ascii="Arial" w:hAnsi="Arial" w:cs="Arial"/>
        </w:rPr>
      </w:pPr>
    </w:p>
    <w:p w14:paraId="0F9DD23E" w14:textId="77777777" w:rsidR="00634C85" w:rsidRPr="00304A42" w:rsidRDefault="00634C85" w:rsidP="00634C85">
      <w:pPr>
        <w:rPr>
          <w:rFonts w:ascii="Arial" w:hAnsi="Arial" w:cs="Arial"/>
          <w:b/>
          <w:bCs/>
        </w:rPr>
      </w:pPr>
      <w:r w:rsidRPr="00304A42">
        <w:rPr>
          <w:rFonts w:ascii="Arial" w:hAnsi="Arial" w:cs="Arial"/>
          <w:b/>
          <w:bCs/>
        </w:rPr>
        <w:t>Guidelines for reporting:</w:t>
      </w:r>
    </w:p>
    <w:p w14:paraId="3497532A" w14:textId="77777777" w:rsidR="00634C85" w:rsidRPr="00304A42" w:rsidRDefault="00634C85" w:rsidP="00634C85">
      <w:pPr>
        <w:rPr>
          <w:rFonts w:ascii="Arial" w:hAnsi="Arial" w:cs="Arial"/>
        </w:rPr>
      </w:pPr>
      <w:r w:rsidRPr="00304A42">
        <w:rPr>
          <w:rFonts w:ascii="Arial" w:hAnsi="Arial" w:cs="Arial"/>
        </w:rPr>
        <w:t xml:space="preserve">If </w:t>
      </w:r>
      <w:r w:rsidR="00626418" w:rsidRPr="00304A42">
        <w:rPr>
          <w:rFonts w:ascii="Arial" w:hAnsi="Arial" w:cs="Arial"/>
        </w:rPr>
        <w:t>the above-described</w:t>
      </w:r>
      <w:r w:rsidRPr="00304A42">
        <w:rPr>
          <w:rFonts w:ascii="Arial" w:hAnsi="Arial" w:cs="Arial"/>
        </w:rPr>
        <w:t xml:space="preserve"> pattern of CT finding</w:t>
      </w:r>
      <w:r w:rsidR="00626418" w:rsidRPr="00304A42">
        <w:rPr>
          <w:rFonts w:ascii="Arial" w:hAnsi="Arial" w:cs="Arial"/>
        </w:rPr>
        <w:t>s</w:t>
      </w:r>
      <w:r w:rsidRPr="00304A42">
        <w:rPr>
          <w:rFonts w:ascii="Arial" w:hAnsi="Arial" w:cs="Arial"/>
        </w:rPr>
        <w:t xml:space="preserve"> is seen in a patient not currently diagnosed with novel coronavirus infection/COVID-19, suggest the following statement in the Impression:</w:t>
      </w:r>
    </w:p>
    <w:p w14:paraId="2C5E4667" w14:textId="77777777" w:rsidR="00B6077C" w:rsidRPr="00304A42" w:rsidRDefault="00453C27" w:rsidP="00634C85">
      <w:pPr>
        <w:rPr>
          <w:rFonts w:ascii="Arial" w:hAnsi="Arial" w:cs="Arial"/>
          <w:b/>
          <w:bCs/>
        </w:rPr>
      </w:pPr>
      <w:bookmarkStart w:id="0" w:name="_Hlk35006698"/>
      <w:r w:rsidRPr="00304A42">
        <w:rPr>
          <w:rFonts w:ascii="Arial" w:hAnsi="Arial" w:cs="Arial"/>
          <w:b/>
          <w:bCs/>
        </w:rPr>
        <w:t xml:space="preserve">Findings </w:t>
      </w:r>
      <w:r w:rsidR="00BC1D62" w:rsidRPr="00304A42">
        <w:rPr>
          <w:rFonts w:ascii="Arial" w:hAnsi="Arial" w:cs="Arial"/>
          <w:b/>
          <w:bCs/>
        </w:rPr>
        <w:t xml:space="preserve">are </w:t>
      </w:r>
      <w:r w:rsidRPr="00304A42">
        <w:rPr>
          <w:rFonts w:ascii="Arial" w:hAnsi="Arial" w:cs="Arial"/>
          <w:b/>
          <w:bCs/>
        </w:rPr>
        <w:t>suggestive of viral pneumonia,</w:t>
      </w:r>
      <w:r w:rsidR="00BC1D62" w:rsidRPr="00304A42">
        <w:rPr>
          <w:rFonts w:ascii="Arial" w:hAnsi="Arial" w:cs="Arial"/>
          <w:b/>
          <w:bCs/>
        </w:rPr>
        <w:t xml:space="preserve"> but are nonspecific and can include</w:t>
      </w:r>
      <w:r w:rsidRPr="00304A42">
        <w:rPr>
          <w:rFonts w:ascii="Arial" w:hAnsi="Arial" w:cs="Arial"/>
          <w:b/>
          <w:bCs/>
        </w:rPr>
        <w:t xml:space="preserve"> influenza and atypical strains such as COVID-19 infection.  Differential diagnostic considerations include other multifocal </w:t>
      </w:r>
      <w:r w:rsidR="00336A14" w:rsidRPr="00304A42">
        <w:rPr>
          <w:rFonts w:ascii="Arial" w:hAnsi="Arial" w:cs="Arial"/>
          <w:b/>
          <w:bCs/>
        </w:rPr>
        <w:t xml:space="preserve">or organizing </w:t>
      </w:r>
      <w:r w:rsidRPr="00304A42">
        <w:rPr>
          <w:rFonts w:ascii="Arial" w:hAnsi="Arial" w:cs="Arial"/>
          <w:b/>
          <w:bCs/>
        </w:rPr>
        <w:t xml:space="preserve">pneumonia or pneumonitis.  </w:t>
      </w:r>
      <w:bookmarkEnd w:id="0"/>
    </w:p>
    <w:p w14:paraId="37BFB695" w14:textId="77777777" w:rsidR="00D610E3" w:rsidRPr="00304A42" w:rsidRDefault="00D610E3" w:rsidP="00D610E3">
      <w:pPr>
        <w:rPr>
          <w:rFonts w:ascii="Arial" w:hAnsi="Arial" w:cs="Arial"/>
        </w:rPr>
      </w:pPr>
      <w:r w:rsidRPr="00304A42">
        <w:rPr>
          <w:rFonts w:ascii="Arial" w:hAnsi="Arial" w:cs="Arial"/>
        </w:rPr>
        <w:t>Radiologist should communicate result to ED provider.</w:t>
      </w:r>
    </w:p>
    <w:p w14:paraId="50CC51D0" w14:textId="245B7B50" w:rsidR="000C6C3E" w:rsidRPr="00304A42" w:rsidRDefault="000C6C3E" w:rsidP="00D610E3">
      <w:pPr>
        <w:rPr>
          <w:rFonts w:ascii="Arial" w:hAnsi="Arial" w:cs="Arial"/>
        </w:rPr>
      </w:pPr>
    </w:p>
    <w:p w14:paraId="496B70AE" w14:textId="77777777" w:rsidR="00D610E3" w:rsidRPr="00304A42" w:rsidRDefault="00D610E3" w:rsidP="00D610E3">
      <w:pPr>
        <w:rPr>
          <w:rFonts w:ascii="Arial" w:hAnsi="Arial" w:cs="Arial"/>
        </w:rPr>
      </w:pPr>
    </w:p>
    <w:p w14:paraId="39CE8E11" w14:textId="77777777" w:rsidR="00D610E3" w:rsidRPr="00304A42" w:rsidRDefault="00D610E3" w:rsidP="00634C85">
      <w:pPr>
        <w:rPr>
          <w:rFonts w:ascii="Arial" w:hAnsi="Arial" w:cs="Arial"/>
        </w:rPr>
      </w:pPr>
    </w:p>
    <w:p w14:paraId="2520AE23" w14:textId="6E26FB23" w:rsidR="00CE6C46" w:rsidRDefault="00CE6C46" w:rsidP="00D610E3">
      <w:pPr>
        <w:pStyle w:val="inline"/>
        <w:shd w:val="clear" w:color="auto" w:fill="FFFFFF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Selected </w:t>
      </w:r>
      <w:r w:rsidR="00D610E3" w:rsidRPr="00304A42">
        <w:rPr>
          <w:rFonts w:ascii="Arial" w:eastAsiaTheme="minorHAnsi" w:hAnsi="Arial" w:cs="Arial"/>
          <w:sz w:val="22"/>
          <w:szCs w:val="22"/>
        </w:rPr>
        <w:t>References</w:t>
      </w:r>
      <w:bookmarkStart w:id="1" w:name="_GoBack"/>
      <w:bookmarkEnd w:id="1"/>
      <w:r w:rsidR="00D610E3" w:rsidRPr="00304A42">
        <w:rPr>
          <w:rFonts w:ascii="Arial" w:eastAsiaTheme="minorHAnsi" w:hAnsi="Arial" w:cs="Arial"/>
          <w:sz w:val="22"/>
          <w:szCs w:val="22"/>
        </w:rPr>
        <w:t xml:space="preserve">: </w:t>
      </w:r>
    </w:p>
    <w:p w14:paraId="442CE742" w14:textId="5291240B" w:rsidR="00D610E3" w:rsidRPr="00304A42" w:rsidRDefault="00D610E3" w:rsidP="00D610E3">
      <w:pPr>
        <w:pStyle w:val="inline"/>
        <w:shd w:val="clear" w:color="auto" w:fill="FFFFFF"/>
        <w:rPr>
          <w:rFonts w:ascii="Arial" w:eastAsiaTheme="minorHAnsi" w:hAnsi="Arial" w:cs="Arial"/>
          <w:sz w:val="22"/>
          <w:szCs w:val="22"/>
        </w:rPr>
      </w:pPr>
      <w:r w:rsidRPr="00304A42">
        <w:rPr>
          <w:rFonts w:ascii="Arial" w:eastAsiaTheme="minorHAnsi" w:hAnsi="Arial" w:cs="Arial"/>
          <w:sz w:val="22"/>
          <w:szCs w:val="22"/>
        </w:rPr>
        <w:t>Pan et al. Time course of lung changes on chest CT during recovery from 2019 novel coronavirus (COVID-19) pneumonia. Radiology 20</w:t>
      </w:r>
      <w:r w:rsidR="00790CAE" w:rsidRPr="00304A42">
        <w:rPr>
          <w:rFonts w:ascii="Arial" w:eastAsiaTheme="minorHAnsi" w:hAnsi="Arial" w:cs="Arial"/>
          <w:sz w:val="22"/>
          <w:szCs w:val="22"/>
        </w:rPr>
        <w:t>19</w:t>
      </w:r>
      <w:r w:rsidRPr="00304A42">
        <w:rPr>
          <w:rFonts w:ascii="Arial" w:eastAsiaTheme="minorHAnsi" w:hAnsi="Arial" w:cs="Arial"/>
          <w:sz w:val="22"/>
          <w:szCs w:val="22"/>
        </w:rPr>
        <w:t xml:space="preserve">.  </w:t>
      </w:r>
      <w:hyperlink r:id="rId9" w:history="1">
        <w:r w:rsidRPr="00304A42">
          <w:rPr>
            <w:rFonts w:ascii="Arial" w:eastAsiaTheme="minorHAnsi" w:hAnsi="Arial" w:cs="Arial"/>
            <w:sz w:val="22"/>
            <w:szCs w:val="22"/>
          </w:rPr>
          <w:t>https://doi.org/10.1148/radiol.2020200370</w:t>
        </w:r>
      </w:hyperlink>
    </w:p>
    <w:p w14:paraId="09B0BAF4" w14:textId="77777777" w:rsidR="00D610E3" w:rsidRPr="00304A42" w:rsidRDefault="00D610E3" w:rsidP="00D610E3">
      <w:pPr>
        <w:rPr>
          <w:rFonts w:ascii="Arial" w:hAnsi="Arial" w:cs="Arial"/>
        </w:rPr>
      </w:pPr>
      <w:r w:rsidRPr="00304A42">
        <w:rPr>
          <w:rFonts w:ascii="Arial" w:hAnsi="Arial" w:cs="Arial"/>
        </w:rPr>
        <w:t xml:space="preserve">Dai et al. CT imaging and differential diagnosis of COVID-19. </w:t>
      </w:r>
      <w:hyperlink r:id="rId10" w:tooltip="Canadian Association of Radiologists journal = Journal l'Association canadienne des radiologistes." w:history="1">
        <w:r w:rsidRPr="00304A42">
          <w:rPr>
            <w:rFonts w:ascii="Arial" w:hAnsi="Arial" w:cs="Arial"/>
          </w:rPr>
          <w:t>Can Assoc Radiol J.</w:t>
        </w:r>
      </w:hyperlink>
      <w:r w:rsidRPr="00304A42">
        <w:rPr>
          <w:rFonts w:ascii="Arial" w:hAnsi="Arial" w:cs="Arial"/>
        </w:rPr>
        <w:t xml:space="preserve"> 2020 Mar 4:846537120913033. doi: 10.1177/0846537120913033. [Epub ahead of print] </w:t>
      </w:r>
    </w:p>
    <w:p w14:paraId="5C00CC4D" w14:textId="77777777" w:rsidR="00D610E3" w:rsidRPr="00304A42" w:rsidRDefault="00D610E3" w:rsidP="00634C85">
      <w:pPr>
        <w:rPr>
          <w:rFonts w:ascii="Arial" w:hAnsi="Arial" w:cs="Arial"/>
        </w:rPr>
      </w:pPr>
    </w:p>
    <w:p w14:paraId="25AA7F84" w14:textId="77777777" w:rsidR="00725080" w:rsidRPr="00586458" w:rsidRDefault="00725080" w:rsidP="00634C85">
      <w:pPr>
        <w:rPr>
          <w:rFonts w:ascii="Arial" w:eastAsia="Times New Roman" w:hAnsi="Arial" w:cs="Arial"/>
          <w:color w:val="000000"/>
        </w:rPr>
      </w:pPr>
    </w:p>
    <w:p w14:paraId="18EAA0C1" w14:textId="77777777" w:rsidR="00E82FC4" w:rsidRPr="00586458" w:rsidRDefault="00E82FC4">
      <w:pPr>
        <w:rPr>
          <w:rFonts w:ascii="Arial" w:hAnsi="Arial" w:cs="Arial"/>
        </w:rPr>
      </w:pPr>
    </w:p>
    <w:sectPr w:rsidR="00E82FC4" w:rsidRPr="00586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076E"/>
    <w:multiLevelType w:val="multilevel"/>
    <w:tmpl w:val="7380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032C8D"/>
    <w:multiLevelType w:val="hybridMultilevel"/>
    <w:tmpl w:val="D2FA3A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C4"/>
    <w:rsid w:val="00034F19"/>
    <w:rsid w:val="000C6A84"/>
    <w:rsid w:val="000C6C3E"/>
    <w:rsid w:val="001A1A5B"/>
    <w:rsid w:val="00304A42"/>
    <w:rsid w:val="00336A14"/>
    <w:rsid w:val="00453C27"/>
    <w:rsid w:val="00586458"/>
    <w:rsid w:val="006241DE"/>
    <w:rsid w:val="00626418"/>
    <w:rsid w:val="00634C85"/>
    <w:rsid w:val="00725080"/>
    <w:rsid w:val="00790CAE"/>
    <w:rsid w:val="007A5FCC"/>
    <w:rsid w:val="00AF48E4"/>
    <w:rsid w:val="00B6077C"/>
    <w:rsid w:val="00BC1D62"/>
    <w:rsid w:val="00CD7D3D"/>
    <w:rsid w:val="00CE6C46"/>
    <w:rsid w:val="00D610E3"/>
    <w:rsid w:val="00DC0760"/>
    <w:rsid w:val="00E82FC4"/>
    <w:rsid w:val="00F6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FCF0"/>
  <w15:chartTrackingRefBased/>
  <w15:docId w15:val="{08AC70D1-EB58-45C6-9E1B-38C0C2B8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">
    <w:name w:val="inline"/>
    <w:basedOn w:val="Normal"/>
    <w:rsid w:val="00E8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2F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F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4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oracicrad.org/?portfolio=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ritastv.org/programs/covid-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48/radiol.202020037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ncbi.nlm.nih.gov/pubmed/321296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48/radiol.2020200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Lowell General Hospital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Maryellen Sun MD</dc:creator>
  <cp:keywords/>
  <dc:description/>
  <cp:lastModifiedBy>Maryellen Sun</cp:lastModifiedBy>
  <cp:revision>6</cp:revision>
  <dcterms:created xsi:type="dcterms:W3CDTF">2020-03-13T15:00:00Z</dcterms:created>
  <dcterms:modified xsi:type="dcterms:W3CDTF">2020-03-16T13:37:00Z</dcterms:modified>
</cp:coreProperties>
</file>