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BC" w:rsidRDefault="00DF48BC" w:rsidP="00DF48BC">
      <w:pPr>
        <w:pStyle w:val="Heading2"/>
        <w:shd w:val="clear" w:color="auto" w:fill="EAEAEA"/>
        <w:spacing w:before="0" w:line="240" w:lineRule="atLeast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</w:rPr>
        <w:t>Partners HealthCare COVID-19 Testing Criteria in Setting of Limited Capacity</w:t>
      </w:r>
    </w:p>
    <w:p w:rsidR="00DF48BC" w:rsidRDefault="00DF48BC" w:rsidP="00DF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F6F6F"/>
          <w:sz w:val="23"/>
          <w:szCs w:val="23"/>
        </w:rPr>
      </w:pPr>
      <w:r>
        <w:rPr>
          <w:rStyle w:val="Strong"/>
          <w:rFonts w:ascii="Arial" w:hAnsi="Arial" w:cs="Arial"/>
          <w:color w:val="6F6F6F"/>
          <w:sz w:val="23"/>
          <w:szCs w:val="23"/>
        </w:rPr>
        <w:t>This guidance represents a balance between identifying clinical and operational needs for testing and our current capacity for testing.</w:t>
      </w:r>
    </w:p>
    <w:p w:rsidR="00DF48BC" w:rsidRDefault="00DF48BC" w:rsidP="00DF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F6F6F"/>
          <w:sz w:val="23"/>
          <w:szCs w:val="23"/>
        </w:rPr>
      </w:pPr>
      <w:r>
        <w:rPr>
          <w:rStyle w:val="Strong"/>
          <w:rFonts w:ascii="Arial" w:hAnsi="Arial" w:cs="Arial"/>
          <w:color w:val="6F6F6F"/>
          <w:sz w:val="23"/>
          <w:szCs w:val="23"/>
        </w:rPr>
        <w:t>Effective March 27, 2020</w:t>
      </w:r>
      <w:r>
        <w:rPr>
          <w:rStyle w:val="Emphasis"/>
          <w:rFonts w:ascii="Arial" w:hAnsi="Arial" w:cs="Arial"/>
          <w:color w:val="6F6F6F"/>
          <w:sz w:val="23"/>
          <w:szCs w:val="23"/>
        </w:rPr>
        <w:t> </w:t>
      </w:r>
    </w:p>
    <w:p w:rsidR="00DF48BC" w:rsidRDefault="00DF48BC" w:rsidP="00DF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F6F6F"/>
          <w:sz w:val="23"/>
          <w:szCs w:val="23"/>
        </w:rPr>
      </w:pPr>
      <w:r>
        <w:rPr>
          <w:rStyle w:val="Strong"/>
          <w:rFonts w:ascii="Arial" w:hAnsi="Arial" w:cs="Arial"/>
          <w:i/>
          <w:iCs/>
          <w:color w:val="6F6F6F"/>
          <w:sz w:val="23"/>
          <w:szCs w:val="23"/>
        </w:rPr>
        <w:t>Option 1 Asymptomatic screening:</w:t>
      </w:r>
    </w:p>
    <w:p w:rsidR="00DF48BC" w:rsidRDefault="00DF48BC" w:rsidP="00DF48BC">
      <w:pPr>
        <w:numPr>
          <w:ilvl w:val="0"/>
          <w:numId w:val="1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Partners HealthCare worker requiring return to work clearance per Occupational Health Services</w:t>
      </w:r>
    </w:p>
    <w:p w:rsidR="00DF48BC" w:rsidRDefault="00DF48BC" w:rsidP="00DF48BC">
      <w:pPr>
        <w:numPr>
          <w:ilvl w:val="0"/>
          <w:numId w:val="1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Organ Donor (Donations for New England organ bank requiring testing)</w:t>
      </w:r>
    </w:p>
    <w:p w:rsidR="00DF48BC" w:rsidRDefault="00DF48BC" w:rsidP="00DF48BC">
      <w:pPr>
        <w:numPr>
          <w:ilvl w:val="0"/>
          <w:numId w:val="1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Patients presenting in extremis and no history able to be obtained</w:t>
      </w:r>
    </w:p>
    <w:p w:rsidR="00DF48BC" w:rsidRDefault="00DF48BC" w:rsidP="00DF48BC">
      <w:pPr>
        <w:numPr>
          <w:ilvl w:val="0"/>
          <w:numId w:val="1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Retest patients with indeterminate/inconclusive COVID-19 result</w:t>
      </w:r>
    </w:p>
    <w:p w:rsidR="00DF48BC" w:rsidRDefault="00DF48BC" w:rsidP="00DF48BC">
      <w:pPr>
        <w:numPr>
          <w:ilvl w:val="0"/>
          <w:numId w:val="1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Patients undergoing urgent airway surgery within the next 48-hours that cannot be deferred</w:t>
      </w:r>
    </w:p>
    <w:p w:rsidR="00DF48BC" w:rsidRDefault="00DF48BC" w:rsidP="00DF48BC">
      <w:pPr>
        <w:numPr>
          <w:ilvl w:val="0"/>
          <w:numId w:val="1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Patients requiring urgent transplants within the next 48-hours (solid or liquid)</w:t>
      </w:r>
    </w:p>
    <w:p w:rsidR="00DF48BC" w:rsidRDefault="00DF48BC" w:rsidP="00DF48BC">
      <w:pPr>
        <w:numPr>
          <w:ilvl w:val="0"/>
          <w:numId w:val="1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COVID-19 inpatients who meet Partners criteria for resolution of infection status</w:t>
      </w:r>
    </w:p>
    <w:p w:rsidR="00DF48BC" w:rsidRDefault="00DF48BC" w:rsidP="00DF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F6F6F"/>
          <w:sz w:val="23"/>
          <w:szCs w:val="23"/>
        </w:rPr>
      </w:pPr>
      <w:r>
        <w:rPr>
          <w:rStyle w:val="Emphasis"/>
          <w:rFonts w:ascii="Arial" w:hAnsi="Arial" w:cs="Arial"/>
          <w:b/>
          <w:bCs/>
          <w:color w:val="6F6F6F"/>
          <w:sz w:val="23"/>
          <w:szCs w:val="23"/>
        </w:rPr>
        <w:t> Option 2 Symptomatic testing:</w:t>
      </w:r>
    </w:p>
    <w:p w:rsidR="00DF48BC" w:rsidRDefault="00DF48BC" w:rsidP="00DF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F6F6F"/>
          <w:sz w:val="23"/>
          <w:szCs w:val="23"/>
        </w:rPr>
      </w:pPr>
      <w:r>
        <w:rPr>
          <w:rStyle w:val="Emphasis"/>
          <w:rFonts w:ascii="Arial" w:hAnsi="Arial" w:cs="Arial"/>
          <w:color w:val="6F6F6F"/>
          <w:sz w:val="23"/>
          <w:szCs w:val="23"/>
        </w:rPr>
        <w:t>At least </w:t>
      </w:r>
      <w:r>
        <w:rPr>
          <w:rStyle w:val="Strong"/>
          <w:rFonts w:ascii="Arial" w:hAnsi="Arial" w:cs="Arial"/>
          <w:i/>
          <w:iCs/>
          <w:color w:val="6F6F6F"/>
          <w:sz w:val="23"/>
          <w:szCs w:val="23"/>
        </w:rPr>
        <w:t>one</w:t>
      </w:r>
      <w:r>
        <w:rPr>
          <w:rStyle w:val="Emphasis"/>
          <w:rFonts w:ascii="Arial" w:hAnsi="Arial" w:cs="Arial"/>
          <w:color w:val="6F6F6F"/>
          <w:sz w:val="23"/>
          <w:szCs w:val="23"/>
        </w:rPr>
        <w:t> of the following, potentially attributable to a respiratory viral illness: </w:t>
      </w:r>
    </w:p>
    <w:p w:rsidR="00DF48BC" w:rsidRDefault="00DF48BC" w:rsidP="00DF48BC">
      <w:pPr>
        <w:numPr>
          <w:ilvl w:val="0"/>
          <w:numId w:val="2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Fever, subjective or documented</w:t>
      </w:r>
    </w:p>
    <w:p w:rsidR="00DF48BC" w:rsidRDefault="00DF48BC" w:rsidP="00DF48BC">
      <w:pPr>
        <w:numPr>
          <w:ilvl w:val="0"/>
          <w:numId w:val="2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New sore throat</w:t>
      </w:r>
    </w:p>
    <w:p w:rsidR="00DF48BC" w:rsidRDefault="00DF48BC" w:rsidP="00DF48BC">
      <w:pPr>
        <w:numPr>
          <w:ilvl w:val="0"/>
          <w:numId w:val="2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New cough</w:t>
      </w:r>
    </w:p>
    <w:p w:rsidR="00DF48BC" w:rsidRDefault="00DF48BC" w:rsidP="00DF48BC">
      <w:pPr>
        <w:numPr>
          <w:ilvl w:val="0"/>
          <w:numId w:val="2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New runny nose or nasal congestion</w:t>
      </w:r>
    </w:p>
    <w:p w:rsidR="00DF48BC" w:rsidRDefault="00DF48BC" w:rsidP="00DF48BC">
      <w:pPr>
        <w:numPr>
          <w:ilvl w:val="0"/>
          <w:numId w:val="2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New shortness of breath</w:t>
      </w:r>
    </w:p>
    <w:p w:rsidR="00DF48BC" w:rsidRDefault="00DF48BC" w:rsidP="00DF48BC">
      <w:pPr>
        <w:numPr>
          <w:ilvl w:val="0"/>
          <w:numId w:val="2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Muscle aches</w:t>
      </w:r>
    </w:p>
    <w:p w:rsidR="00DF48BC" w:rsidRDefault="00DF48BC" w:rsidP="00DF48BC">
      <w:pPr>
        <w:numPr>
          <w:ilvl w:val="0"/>
          <w:numId w:val="2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New anosmia</w:t>
      </w:r>
    </w:p>
    <w:p w:rsidR="00DF48BC" w:rsidRDefault="00DF48BC" w:rsidP="00DF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F6F6F"/>
          <w:sz w:val="23"/>
          <w:szCs w:val="23"/>
        </w:rPr>
      </w:pPr>
      <w:r>
        <w:rPr>
          <w:rStyle w:val="Emphasis"/>
          <w:rFonts w:ascii="Arial" w:hAnsi="Arial" w:cs="Arial"/>
          <w:color w:val="6F6F6F"/>
          <w:sz w:val="23"/>
          <w:szCs w:val="23"/>
        </w:rPr>
        <w:t>And at least </w:t>
      </w:r>
      <w:r>
        <w:rPr>
          <w:rStyle w:val="Strong"/>
          <w:rFonts w:ascii="Arial" w:hAnsi="Arial" w:cs="Arial"/>
          <w:i/>
          <w:iCs/>
          <w:color w:val="6F6F6F"/>
          <w:sz w:val="23"/>
          <w:szCs w:val="23"/>
        </w:rPr>
        <w:t>one</w:t>
      </w:r>
      <w:r>
        <w:rPr>
          <w:rStyle w:val="Emphasis"/>
          <w:rFonts w:ascii="Arial" w:hAnsi="Arial" w:cs="Arial"/>
          <w:color w:val="6F6F6F"/>
          <w:sz w:val="23"/>
          <w:szCs w:val="23"/>
        </w:rPr>
        <w:t> of the following (this is a prioritized list based on capacity):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Inpatients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All emergency department patients, regardless of need for admission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Emergency department or Respiratory Illness Clinic (RIC) high risk* patients not requiring admission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Partners HealthCare employee who is required to work at a clinical site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Patient cared for by symptomatic Partners HealthCare worker with confirmed COVID-19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Household contacts of a Partners HealthCare employee who is required to work at a clinical site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Retest patients with indeterminate/inconclusive COVID-19 result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Homeless individuals regardless of whether or not they are part of a cluster or had contact with a confirmed case</w:t>
      </w:r>
    </w:p>
    <w:p w:rsidR="00DF48BC" w:rsidRDefault="00DF48BC" w:rsidP="00DF48BC">
      <w:pPr>
        <w:numPr>
          <w:ilvl w:val="0"/>
          <w:numId w:val="3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Patients receiving dialysis</w:t>
      </w:r>
    </w:p>
    <w:p w:rsidR="00DF48BC" w:rsidRDefault="00DF48BC" w:rsidP="00DF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  *High Risk is defined: Age </w:t>
      </w:r>
      <w:r>
        <w:rPr>
          <w:rFonts w:ascii="Arial" w:hAnsi="Arial" w:cs="Arial"/>
          <w:color w:val="6F6F6F"/>
          <w:sz w:val="23"/>
          <w:szCs w:val="23"/>
          <w:u w:val="single"/>
        </w:rPr>
        <w:t>&gt;</w:t>
      </w:r>
      <w:r>
        <w:rPr>
          <w:rFonts w:ascii="Arial" w:hAnsi="Arial" w:cs="Arial"/>
          <w:color w:val="6F6F6F"/>
          <w:sz w:val="23"/>
          <w:szCs w:val="23"/>
        </w:rPr>
        <w:t>70</w:t>
      </w:r>
    </w:p>
    <w:p w:rsidR="00DF48BC" w:rsidRDefault="00DF48BC" w:rsidP="00DF48BC">
      <w:pPr>
        <w:numPr>
          <w:ilvl w:val="0"/>
          <w:numId w:val="4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Age ≥70</w:t>
      </w:r>
    </w:p>
    <w:p w:rsidR="00DF48BC" w:rsidRDefault="00DF48BC" w:rsidP="00DF48BC">
      <w:pPr>
        <w:numPr>
          <w:ilvl w:val="0"/>
          <w:numId w:val="4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lastRenderedPageBreak/>
        <w:t>Severe chronic lung disease (e.g. asthma, bronchiectasis, cystic fibrosis, COPD, bronchopulmonary dysplasia, Cerebral Palsy with recurrent pneumonia, trach dependency, etc.)</w:t>
      </w:r>
    </w:p>
    <w:p w:rsidR="00DF48BC" w:rsidRDefault="00DF48BC" w:rsidP="00DF48BC">
      <w:pPr>
        <w:numPr>
          <w:ilvl w:val="0"/>
          <w:numId w:val="4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Severe heart disease (including congenital heart disease)</w:t>
      </w:r>
    </w:p>
    <w:p w:rsidR="00DF48BC" w:rsidRDefault="00DF48BC" w:rsidP="00DF48BC">
      <w:pPr>
        <w:numPr>
          <w:ilvl w:val="0"/>
          <w:numId w:val="4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CD4 count &lt;200</w:t>
      </w:r>
    </w:p>
    <w:p w:rsidR="00DF48BC" w:rsidRDefault="00DF48BC" w:rsidP="00DF48BC">
      <w:pPr>
        <w:numPr>
          <w:ilvl w:val="0"/>
          <w:numId w:val="4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On immunocompromising medications (e.g. prednisone &gt;20mg/d, chemotherapy, mycophenolate, cyclosporine, azathioprine, tacrolimus, TNF inhibitors, monoclonal antibodies, etc.)</w:t>
      </w:r>
    </w:p>
    <w:p w:rsidR="00DF48BC" w:rsidRDefault="00DF48BC" w:rsidP="00DF48BC">
      <w:pPr>
        <w:numPr>
          <w:ilvl w:val="0"/>
          <w:numId w:val="4"/>
        </w:numPr>
        <w:shd w:val="clear" w:color="auto" w:fill="FFFFFF"/>
        <w:ind w:left="600"/>
        <w:rPr>
          <w:rFonts w:ascii="Arial" w:hAnsi="Arial" w:cs="Arial"/>
          <w:color w:val="6F6F6F"/>
          <w:sz w:val="23"/>
          <w:szCs w:val="23"/>
        </w:rPr>
      </w:pPr>
      <w:r>
        <w:rPr>
          <w:rFonts w:ascii="Arial" w:hAnsi="Arial" w:cs="Arial"/>
          <w:color w:val="6F6F6F"/>
          <w:sz w:val="23"/>
          <w:szCs w:val="23"/>
        </w:rPr>
        <w:t>Long- term care facility or group home setting</w:t>
      </w:r>
    </w:p>
    <w:p w:rsidR="00DF48BC" w:rsidRDefault="00DF48BC" w:rsidP="00DF48BC">
      <w:pPr>
        <w:pStyle w:val="Heading2"/>
        <w:shd w:val="clear" w:color="auto" w:fill="EAEAEA"/>
        <w:spacing w:before="0" w:line="240" w:lineRule="atLeast"/>
        <w:rPr>
          <w:rFonts w:ascii="Arial" w:hAnsi="Arial" w:cs="Arial"/>
          <w:color w:val="333333"/>
          <w:sz w:val="36"/>
          <w:szCs w:val="36"/>
        </w:rPr>
      </w:pPr>
      <w:bookmarkStart w:id="0" w:name="_GoBack"/>
      <w:bookmarkEnd w:id="0"/>
    </w:p>
    <w:p w:rsidR="00335D64" w:rsidRDefault="00DF48BC"/>
    <w:sectPr w:rsidR="00335D64" w:rsidSect="00175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963"/>
    <w:multiLevelType w:val="multilevel"/>
    <w:tmpl w:val="E0D8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D0E80"/>
    <w:multiLevelType w:val="multilevel"/>
    <w:tmpl w:val="0D44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01852"/>
    <w:multiLevelType w:val="multilevel"/>
    <w:tmpl w:val="5EF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B6BEC"/>
    <w:multiLevelType w:val="multilevel"/>
    <w:tmpl w:val="2F68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BC"/>
    <w:rsid w:val="00175F69"/>
    <w:rsid w:val="001A297E"/>
    <w:rsid w:val="009725FA"/>
    <w:rsid w:val="00DA740B"/>
    <w:rsid w:val="00D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7D02"/>
  <w14:defaultImageDpi w14:val="32767"/>
  <w15:chartTrackingRefBased/>
  <w15:docId w15:val="{280E5B6C-7828-DC40-902A-977E7629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8BC"/>
    <w:rPr>
      <w:rFonts w:ascii="Calibri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F48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F48BC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DF48BC"/>
    <w:rPr>
      <w:b/>
      <w:bCs/>
    </w:rPr>
  </w:style>
  <w:style w:type="character" w:styleId="Emphasis">
    <w:name w:val="Emphasis"/>
    <w:basedOn w:val="DefaultParagraphFont"/>
    <w:uiPriority w:val="20"/>
    <w:qFormat/>
    <w:rsid w:val="00DF4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rubin</dc:creator>
  <cp:keywords/>
  <dc:description/>
  <cp:lastModifiedBy>marc rubin</cp:lastModifiedBy>
  <cp:revision>1</cp:revision>
  <dcterms:created xsi:type="dcterms:W3CDTF">2020-03-28T13:38:00Z</dcterms:created>
  <dcterms:modified xsi:type="dcterms:W3CDTF">2020-03-28T13:39:00Z</dcterms:modified>
</cp:coreProperties>
</file>